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5FC80" w14:textId="77777777" w:rsidR="00C44589" w:rsidRDefault="00DB1163">
      <w:pPr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p w14:paraId="03E4A9D9" w14:textId="77777777" w:rsidR="00C44589" w:rsidRDefault="00C44589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2138"/>
        <w:gridCol w:w="1282"/>
        <w:gridCol w:w="2233"/>
        <w:gridCol w:w="1360"/>
      </w:tblGrid>
      <w:tr w:rsidR="00C44589" w14:paraId="26B0B68C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6549A4F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D44A65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C44589" w14:paraId="18F03DC7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457D76C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DB1163">
              <w:rPr>
                <w:rFonts w:ascii="Times New Roman" w:hAnsi="Times New Roman"/>
                <w:b/>
                <w:sz w:val="20"/>
                <w:szCs w:val="20"/>
              </w:rPr>
              <w:t xml:space="preserve">Јавне финансије </w:t>
            </w:r>
            <w:r w:rsidRPr="00DB1163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II</w:t>
            </w:r>
          </w:p>
        </w:tc>
      </w:tr>
      <w:tr w:rsidR="00C44589" w14:paraId="3E87C74A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37EB237" w14:textId="0A9D2CB3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др Јадранка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Ђуровић-Тодоровић,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др Марина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Ђорђевић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44589" w14:paraId="2718F3A8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045F6C6" w14:textId="4CED2127" w:rsidR="00C44589" w:rsidRPr="00992EE1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992EE1">
              <w:rPr>
                <w:rFonts w:ascii="Times New Roman" w:hAnsi="Times New Roman"/>
                <w:sz w:val="20"/>
                <w:szCs w:val="20"/>
              </w:rPr>
              <w:t>Обавезни</w:t>
            </w:r>
          </w:p>
        </w:tc>
      </w:tr>
      <w:tr w:rsidR="00C44589" w14:paraId="03D28460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34832D3" w14:textId="6B6105A6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44589" w14:paraId="5F9CF6C0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E2D0170" w14:textId="7E328021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44589" w14:paraId="2275F934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3B302D6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2580927A" w14:textId="77777777" w:rsidR="00C44589" w:rsidRDefault="00DB116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студената за </w:t>
            </w:r>
            <w:r>
              <w:rPr>
                <w:rFonts w:ascii="Times New Roman" w:hAnsi="Times New Roman"/>
                <w:sz w:val="20"/>
                <w:szCs w:val="20"/>
              </w:rPr>
              <w:t>продубљивање знања из области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јавних финансија и њиховог утицаја на економск</w:t>
            </w:r>
            <w:r>
              <w:rPr>
                <w:rFonts w:ascii="Times New Roman" w:hAnsi="Times New Roman"/>
                <w:sz w:val="20"/>
                <w:szCs w:val="20"/>
              </w:rPr>
              <w:t>е варијабле, са посебним акцентом употребе јавних финансија у развојне и стабилизационе сврхе.</w:t>
            </w:r>
          </w:p>
          <w:p w14:paraId="508017C7" w14:textId="77777777" w:rsidR="00C44589" w:rsidRDefault="00DB116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роучавање програма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структуре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јавних расхода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то расхода за здравствено осигурање, пензијско осигурање и 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рансфера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као и анализа различитих аспеката државне помоћи. </w:t>
            </w:r>
          </w:p>
          <w:p w14:paraId="5D1D15BE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Акцентовање значаја прикупљања јавних прихода кроз примену основних пореских облика, доприноса, такси и осталих фискалитета и њихових елемената.</w:t>
            </w:r>
          </w:p>
          <w:p w14:paraId="3FD7FBCE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Тумачење специфичности опорезивања добити са нагласком на феномен утањене капитализације, трансферних цена, групног опорезивања, пореских рајева и двоструког опорезивања.</w:t>
            </w:r>
          </w:p>
          <w:p w14:paraId="5BE3E93F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Мерење ефикасности пореза на додату вредност у циљу побољшања његових перформанси.</w:t>
            </w:r>
          </w:p>
          <w:p w14:paraId="517806CE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3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способљавање студената за разумевање и тумачење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државног и локалних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буџета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њ</w:t>
            </w:r>
            <w:r>
              <w:rPr>
                <w:rFonts w:ascii="Times New Roman" w:hAnsi="Times New Roman"/>
                <w:sz w:val="20"/>
                <w:szCs w:val="20"/>
              </w:rPr>
              <w:t>ихо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ве структуре</w:t>
            </w:r>
            <w:r>
              <w:rPr>
                <w:rFonts w:ascii="Times New Roman" w:hAnsi="Times New Roman"/>
                <w:sz w:val="20"/>
                <w:szCs w:val="20"/>
              </w:rPr>
              <w:t>, кроз анализу  приходне и расходне стране буџета, неравнотежних стања буџета и начина покрића буџетског дефицита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04A9DC6A" w14:textId="77777777" w:rsidR="00C44589" w:rsidRDefault="00DB116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азумевање проблематике управљања јавним дугом и оспособљавање студената за разумевање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валутне, каматне и структуре јавног дога по повериоцима.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03797E3E" w14:textId="77777777" w:rsidR="00C44589" w:rsidRDefault="00DB116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роучавање расподеле јавних прихода и расхода између различитих новоа власти</w:t>
            </w:r>
            <w:r>
              <w:rPr>
                <w:rFonts w:ascii="Times New Roman" w:hAnsi="Times New Roman"/>
                <w:sz w:val="20"/>
                <w:szCs w:val="20"/>
              </w:rPr>
              <w:t>, са посебним акцентом на мерење нивоа фискалне децентрализације у изабраним земљама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</w:p>
          <w:p w14:paraId="66ECB8AF" w14:textId="0422A9CB" w:rsidR="00C44589" w:rsidRDefault="00DB1163" w:rsidP="00DB116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Упознавање са радом е-управе и функционисања е-пореза</w:t>
            </w:r>
          </w:p>
        </w:tc>
      </w:tr>
      <w:tr w:rsidR="00C44589" w14:paraId="741914B2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2E5FB63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BE9C0FB" w14:textId="77777777" w:rsidR="00C44589" w:rsidRDefault="00DB1163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Студенти ће бити оспособљени да:</w:t>
            </w:r>
          </w:p>
          <w:p w14:paraId="019D49FC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(И1) препознају и тумаче сложене појмове из области фискалне политике,</w:t>
            </w:r>
          </w:p>
          <w:p w14:paraId="0A2BF223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(И2) мере и упоређују ниво фискалног оптерећења привреда различитог нивоа развијености, </w:t>
            </w:r>
          </w:p>
          <w:p w14:paraId="52F4D4EC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(И3) примењују аналитичке методе за оцену ефикасности јавне потрошње у области здравствене заштите;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анализирају системе финансирања </w:t>
            </w:r>
            <w:r>
              <w:rPr>
                <w:rFonts w:ascii="Times New Roman" w:hAnsi="Times New Roman"/>
                <w:sz w:val="20"/>
                <w:szCs w:val="20"/>
              </w:rPr>
              <w:t>пензионог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осигурања и </w:t>
            </w:r>
            <w:r>
              <w:rPr>
                <w:rFonts w:ascii="Times New Roman" w:hAnsi="Times New Roman"/>
                <w:sz w:val="20"/>
                <w:szCs w:val="20"/>
              </w:rPr>
              <w:t>указују на предности и недостатке државних пензионих система; анализирају и препознају различите врсте државне помоћи,</w:t>
            </w:r>
          </w:p>
          <w:p w14:paraId="15994D86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(И4)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анализирају различите системе пореза на доходак физичких лица,</w:t>
            </w:r>
          </w:p>
          <w:p w14:paraId="353FB924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(И5) проучавају и обрачунавају “порески клин” у систему порез на доходак физичких лица,  </w:t>
            </w:r>
          </w:p>
          <w:p w14:paraId="68AE5B0A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(И6) анализирају специфичности опорезивања добити предузећа кроз пореске системе различитих држава,</w:t>
            </w:r>
          </w:p>
          <w:p w14:paraId="03E77AFC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(И7) мере перформансе пореза на додату вредност применом коефицијената продуктивности и ефикасности,</w:t>
            </w:r>
          </w:p>
          <w:p w14:paraId="6265BBAF" w14:textId="77777777" w:rsidR="00C44589" w:rsidRDefault="00DB1163" w:rsidP="00DB1163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(И8) примењују знања о парафискалним приходима,</w:t>
            </w:r>
          </w:p>
          <w:p w14:paraId="73DE13DE" w14:textId="77777777" w:rsidR="00C44589" w:rsidRDefault="00DB1163" w:rsidP="00DB116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(И9)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анализ</w:t>
            </w:r>
            <w:r>
              <w:rPr>
                <w:rFonts w:ascii="Times New Roman" w:hAnsi="Times New Roman"/>
                <w:sz w:val="20"/>
                <w:szCs w:val="20"/>
              </w:rPr>
              <w:t>ирају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прихо</w:t>
            </w:r>
            <w:r>
              <w:rPr>
                <w:rFonts w:ascii="Times New Roman" w:hAnsi="Times New Roman"/>
                <w:sz w:val="20"/>
                <w:szCs w:val="20"/>
              </w:rPr>
              <w:t>дну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расход</w:t>
            </w:r>
            <w:r>
              <w:rPr>
                <w:rFonts w:ascii="Times New Roman" w:hAnsi="Times New Roman"/>
                <w:sz w:val="20"/>
                <w:szCs w:val="20"/>
              </w:rPr>
              <w:t>ну страну буџета држава на различитом ниво развијености и буџета локалних колективитета; мере и анализирају ниво јавног дуга, као начина финансирања буџетског дефицита,</w:t>
            </w:r>
          </w:p>
          <w:p w14:paraId="7A239D00" w14:textId="77777777" w:rsidR="00C44589" w:rsidRDefault="00DB1163" w:rsidP="00DB116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(И10) сагледавају и тумаче ниво фискалног федерализма изабраних земаља различитог државног уређења.</w:t>
            </w:r>
          </w:p>
          <w:p w14:paraId="29AD300C" w14:textId="77777777" w:rsidR="00C44589" w:rsidRDefault="00DB1163" w:rsidP="00DB116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(И11) приступају платформи е-управе и попуњавају обрасце у систему е-пореза</w:t>
            </w:r>
          </w:p>
        </w:tc>
      </w:tr>
      <w:tr w:rsidR="00C44589" w14:paraId="5F606ACA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13BF6CA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74775C40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21AFE49" w14:textId="77777777" w:rsidR="00C44589" w:rsidRDefault="00DB1163" w:rsidP="00DB1163">
            <w:pPr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Анализа функција и програма јавних расхода – здравствено осигурање</w:t>
            </w:r>
          </w:p>
          <w:p w14:paraId="0099FF47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Анализа функција и програма јавних расхода – пензијско осигурање</w:t>
            </w:r>
          </w:p>
          <w:p w14:paraId="2EE30895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Анализа функција и програма јавних расхода – трансфери</w:t>
            </w:r>
          </w:p>
          <w:p w14:paraId="56CD020A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Специфичности опорезивања доходка физичких лица </w:t>
            </w:r>
          </w:p>
          <w:p w14:paraId="11D40AAC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Специфичности опорезивања добити предузећа </w:t>
            </w:r>
          </w:p>
          <w:p w14:paraId="0EAA19CA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Различити аспекти опорезивања имовине</w:t>
            </w:r>
          </w:p>
          <w:p w14:paraId="2EAC21CA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Мерење перформанси пореза на додату вредност, акциза и царина</w:t>
            </w:r>
          </w:p>
          <w:p w14:paraId="68AAD9D5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Е-порези</w:t>
            </w:r>
          </w:p>
          <w:p w14:paraId="1C992032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Анализа парафискалних прихода – доприноси за социјално осигурање</w:t>
            </w:r>
          </w:p>
          <w:p w14:paraId="3974E186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Анализа државног буџета и буџета локалних самоуправа</w:t>
            </w:r>
          </w:p>
          <w:p w14:paraId="53FCB6D5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Специфичности јавног задуживања </w:t>
            </w:r>
          </w:p>
          <w:p w14:paraId="20FEEB76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Фискални федерализам – расподела јавних прихода и јавних расхода између различитих нивоа власти</w:t>
            </w:r>
          </w:p>
          <w:p w14:paraId="6E9BDECA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Могући аспекти оптималног пореског планирања у области директних и индиректних пореза</w:t>
            </w:r>
          </w:p>
          <w:p w14:paraId="6CBECBD0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Еколошки порези - економски и еколошки аспект опорезивања</w:t>
            </w:r>
          </w:p>
          <w:p w14:paraId="27643D62" w14:textId="77777777" w:rsidR="00C44589" w:rsidRDefault="00DB1163" w:rsidP="00DB116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Теоријски аспекти пореске евазије</w:t>
            </w:r>
          </w:p>
          <w:p w14:paraId="6E9DE212" w14:textId="77777777" w:rsidR="00C44589" w:rsidRDefault="00C4458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9F6C1F4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4A7B7965" w14:textId="77777777" w:rsidR="00C44589" w:rsidRDefault="00DB1163" w:rsidP="00DB1163">
            <w:pPr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Практичан примена теориских знања  кроз анализу програма јавних расхода изабраних земаља или групација земаља.</w:t>
            </w:r>
          </w:p>
          <w:p w14:paraId="7DECE3AA" w14:textId="77777777" w:rsidR="00C44589" w:rsidRDefault="00DB1163" w:rsidP="00DB1163">
            <w:pPr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Препознавање специфичности појединих пореских облика и парафискалитета на примеру изабраних земаља разлчитог степена развијености. </w:t>
            </w:r>
          </w:p>
          <w:p w14:paraId="03E6F802" w14:textId="77777777" w:rsidR="00C44589" w:rsidRDefault="00DB1163" w:rsidP="00DB1163">
            <w:pPr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Анализа буџета конкретних држава кроз мерење значаја текућих и капиталних прихода и доприноса појединих јавних прихода обезбеђењу недостајућих средстава.</w:t>
            </w:r>
          </w:p>
          <w:p w14:paraId="4EC512F5" w14:textId="77777777" w:rsidR="00C44589" w:rsidRDefault="00DB1163" w:rsidP="00DB1163">
            <w:pPr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Анализа буџета градова и општина уз сагледавање и мерење властитих и уступљених прихода, као и донација и трансфера. </w:t>
            </w:r>
          </w:p>
          <w:p w14:paraId="79751D9D" w14:textId="77777777" w:rsidR="00C44589" w:rsidRDefault="00DB1163" w:rsidP="00DB1163">
            <w:pPr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Мерење нивоа јавног дуга земаља различитог степена развијености.</w:t>
            </w:r>
          </w:p>
          <w:p w14:paraId="1CFDFD5C" w14:textId="77777777" w:rsidR="00C44589" w:rsidRDefault="00DB1163" w:rsidP="00DB1163">
            <w:pPr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Сагледавање нивоа фискалног федерализма у унитарним и државама федералног и конфедералног типа.</w:t>
            </w:r>
          </w:p>
          <w:p w14:paraId="56ED667F" w14:textId="77777777" w:rsidR="00C44589" w:rsidRDefault="00DB1163" w:rsidP="00DB1163">
            <w:pPr>
              <w:numPr>
                <w:ilvl w:val="0"/>
                <w:numId w:val="4"/>
              </w:num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Анализа фискалних индикатора изабраних земаља. </w:t>
            </w:r>
          </w:p>
          <w:p w14:paraId="6C81F931" w14:textId="77777777" w:rsidR="00C44589" w:rsidRDefault="00DB1163" w:rsidP="00DB1163">
            <w:p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 Пореско планирање - практичан примена на примеру правних лица.</w:t>
            </w:r>
          </w:p>
          <w:p w14:paraId="5141AB96" w14:textId="77777777" w:rsidR="00C44589" w:rsidRDefault="00DB1163" w:rsidP="00DB1163">
            <w:p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 Анализа примене еколошких пореза у свету.</w:t>
            </w:r>
          </w:p>
          <w:p w14:paraId="3D14E3DB" w14:textId="77777777" w:rsidR="00C44589" w:rsidRDefault="00DB1163" w:rsidP="00DB1163">
            <w:p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Приступање платформи е-управе и рад на њој.</w:t>
            </w:r>
          </w:p>
          <w:p w14:paraId="32A226F2" w14:textId="77777777" w:rsidR="00C44589" w:rsidRDefault="00DB1163" w:rsidP="00DB1163">
            <w:pPr>
              <w:tabs>
                <w:tab w:val="left" w:pos="420"/>
              </w:tabs>
              <w:spacing w:before="60" w:after="60"/>
              <w:ind w:left="420" w:hanging="3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11. Мерење ниво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пореске евазије у изабраним пореским системима.</w:t>
            </w:r>
          </w:p>
        </w:tc>
      </w:tr>
      <w:tr w:rsidR="00C44589" w14:paraId="69D7F177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0EDA44C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07C4B415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Обавезна:</w:t>
            </w:r>
          </w:p>
          <w:p w14:paraId="203D2D26" w14:textId="77777777" w:rsidR="00C44589" w:rsidRDefault="00DB1163" w:rsidP="00DB1163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Ђуровић-Тодоровић, Ј., Ђорђевић, М., Ристић, М., (2019), СТРУКТУРА САВРЕМЕНИХ ПОРЕСКИХ СИСТЕМА, Економски факултет, Ниш</w:t>
            </w:r>
          </w:p>
          <w:p w14:paraId="65F9C206" w14:textId="77777777" w:rsidR="00C44589" w:rsidRDefault="00DB1163" w:rsidP="00DB1163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Ђуровић-Тодоровић, Ј., Ђорђевић, М., (2019), ЈАВНЕ ФИНАНСИЈЕ – ТЕОРИЈА И ПРАКСА, Економски факултет, Ниш</w:t>
            </w:r>
          </w:p>
          <w:p w14:paraId="39955B5D" w14:textId="77777777" w:rsidR="00C44589" w:rsidRDefault="00DB1163" w:rsidP="00DB1163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Ђуровић-Тодоровић, Ј., Ђорђевић, М.,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Калаш, Б.,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Ристић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Цакић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М., (20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ПОРЕСКО ПЛАНИРАЊЕ - ТЕОРИЈСКИ ОКВИР И ПРАКТИЧНЕ ИМПЛИКАЦИЈЕ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Економски факултет, Ниш</w:t>
            </w:r>
          </w:p>
          <w:p w14:paraId="31DEC9F0" w14:textId="77777777" w:rsidR="00C44589" w:rsidRDefault="00DB116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Допунска: </w:t>
            </w:r>
          </w:p>
          <w:p w14:paraId="4AF5DD25" w14:textId="77777777" w:rsidR="00C44589" w:rsidRDefault="00DB1163" w:rsidP="00DB1163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left" w:pos="420"/>
              </w:tabs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Demografic Challenges of the Pension System in the Republic of Serbia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(2024),  Đurović Todorović, J., Đorđević, M., Ristić Cakić, M., The Proceedings Ekonbiz 2024, Fakultet poslovne ekonomije Bjeljina, http://www.ekonbiz.ues.rs.ba/2024/</w:t>
            </w:r>
          </w:p>
          <w:p w14:paraId="5531AFEE" w14:textId="77777777" w:rsidR="00C44589" w:rsidRDefault="00DB1163" w:rsidP="00DB1163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left" w:pos="420"/>
              </w:tabs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Analysis of the Volumen and Structure of Original and Assigned Revenues of the Budget of the City of Leskovac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(2024), Đorđević, M., Jovanović, S., Економика, Vol. 70, april-june 2024, № 2, p.1-11,  </w:t>
            </w:r>
            <w:hyperlink r:id="rId5" w:history="1"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https://www.ekonomika.org.rs/sr/PDF/ekonomika/2024/clanci24-2/1.pdf</w:t>
              </w:r>
            </w:hyperlink>
          </w:p>
          <w:p w14:paraId="6E370EFB" w14:textId="77777777" w:rsidR="00C44589" w:rsidRDefault="00DB1163" w:rsidP="00DB1163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left" w:pos="420"/>
              </w:tabs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 w:eastAsia="zh-CN"/>
              </w:rPr>
              <w:t xml:space="preserve">Public Revenue and Public Expenditure as Predictors of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 w:eastAsia="zh-CN"/>
              </w:rPr>
              <w:t>Economic Growth: The Case of BRICS Countries</w:t>
            </w: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 xml:space="preserve"> (2024),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Đurović Todorović, J., Đorđević, M., 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Kalaš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B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., Vol. 57 No. 3 (2024): Economic Analysis: Applied Research in Emerging Markets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, </w:t>
            </w:r>
            <w:hyperlink r:id="rId6" w:history="1">
              <w:r>
                <w:rPr>
                  <w:rStyle w:val="FollowedHyperlink"/>
                  <w:rFonts w:ascii="Times New Roman" w:hAnsi="Times New Roman"/>
                  <w:bCs/>
                  <w:sz w:val="20"/>
                  <w:szCs w:val="20"/>
                  <w:lang w:val="sr-Latn-RS"/>
                </w:rPr>
                <w:t>https://www.library.ien.bg.ac.rs/index.php/ea/issue/view/236,</w:t>
              </w:r>
            </w:hyperlink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</w:p>
          <w:p w14:paraId="5146A500" w14:textId="77777777" w:rsidR="00C44589" w:rsidRDefault="00DB1163" w:rsidP="00DB1163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left" w:pos="420"/>
              </w:tabs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Fiscal Federalism and Local Public Utility Policy in the Conditions of Uncertainty by the Energy Crisis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Todorović, J. Đ., Đorđević, M., &amp; Cakić, M. R. (2023), An Empirical Review. Transformation and Efficiency Enhancement of Public Utilities Systems: Multidimensional Aspects and Perspectives, 272-294.</w:t>
            </w:r>
          </w:p>
          <w:p w14:paraId="4C57F875" w14:textId="77777777" w:rsidR="00C44589" w:rsidRDefault="00DB1163" w:rsidP="00DB1163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left" w:pos="420"/>
              </w:tabs>
              <w:ind w:left="4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color w:val="222222"/>
                <w:sz w:val="20"/>
                <w:szCs w:val="20"/>
                <w:shd w:val="clear" w:color="auto" w:fill="FFFFFF"/>
              </w:rPr>
              <w:t>Ekološki porezi kao instrument ekološke</w:t>
            </w:r>
            <w:r>
              <w:rPr>
                <w:rFonts w:ascii="Times New Roman" w:hAnsi="Times New Roman"/>
                <w:bCs/>
                <w:i/>
                <w:color w:val="222222"/>
                <w:sz w:val="20"/>
                <w:szCs w:val="20"/>
                <w:shd w:val="clear" w:color="auto" w:fill="FFFFFF"/>
                <w:lang w:val="sr-Cyrl-BA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222222"/>
                <w:sz w:val="20"/>
                <w:szCs w:val="20"/>
                <w:shd w:val="clear" w:color="auto" w:fill="FFFFFF"/>
              </w:rPr>
              <w:t>politike zemalja u razvoju,</w:t>
            </w:r>
            <w:r>
              <w:rPr>
                <w:rFonts w:ascii="Times New Roman" w:hAnsi="Times New Roman"/>
                <w:bCs/>
                <w:i/>
                <w:color w:val="222222"/>
                <w:sz w:val="20"/>
                <w:szCs w:val="20"/>
                <w:shd w:val="clear" w:color="auto" w:fill="FFFFFF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222222"/>
                <w:sz w:val="20"/>
                <w:szCs w:val="20"/>
                <w:shd w:val="clear" w:color="auto" w:fill="FFFFFF"/>
                <w:lang w:val="sr-Latn-RS"/>
              </w:rPr>
              <w:t>Đorđević, M.,</w:t>
            </w:r>
            <w:r>
              <w:rPr>
                <w:rFonts w:ascii="Times New Roman" w:hAnsi="Times New Roman"/>
                <w:bCs/>
                <w:i/>
                <w:color w:val="222222"/>
                <w:sz w:val="20"/>
                <w:szCs w:val="20"/>
                <w:shd w:val="clear" w:color="auto" w:fill="FFFFFF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color w:val="222222"/>
                <w:sz w:val="20"/>
                <w:szCs w:val="20"/>
                <w:shd w:val="clear" w:color="auto" w:fill="FFFFFF"/>
              </w:rPr>
              <w:t xml:space="preserve">Đurović Todorović, J., Ristić, M., </w:t>
            </w:r>
            <w:r>
              <w:rPr>
                <w:rFonts w:ascii="Times New Roman" w:hAnsi="Times New Roman"/>
                <w:bCs/>
                <w:color w:val="222222"/>
                <w:sz w:val="20"/>
                <w:szCs w:val="20"/>
                <w:shd w:val="clear" w:color="auto" w:fill="FFFFFF"/>
                <w:lang w:val="sr-Latn-RS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0"/>
                <w:szCs w:val="20"/>
                <w:shd w:val="clear" w:color="auto" w:fill="FFFFFF"/>
              </w:rPr>
              <w:t>2018</w:t>
            </w:r>
            <w:r>
              <w:rPr>
                <w:rFonts w:ascii="Times New Roman" w:hAnsi="Times New Roman"/>
                <w:bCs/>
                <w:color w:val="222222"/>
                <w:sz w:val="20"/>
                <w:szCs w:val="20"/>
                <w:shd w:val="clear" w:color="auto" w:fill="FFFFFF"/>
                <w:lang w:val="sr-Latn-RS"/>
              </w:rPr>
              <w:t>)</w:t>
            </w:r>
            <w:r>
              <w:rPr>
                <w:rFonts w:ascii="Times New Roman" w:hAnsi="Times New Roman"/>
                <w:bCs/>
                <w:color w:val="222222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VI Интернационални научни скуп, Бјељина 2018,</w:t>
            </w:r>
            <w:r>
              <w:rPr>
                <w:rFonts w:ascii="Times New Roman" w:hAnsi="Times New Roman"/>
                <w:bCs/>
                <w:color w:val="222222"/>
                <w:sz w:val="20"/>
                <w:szCs w:val="20"/>
                <w:shd w:val="clear" w:color="auto" w:fill="FFFFFF"/>
              </w:rPr>
              <w:t xml:space="preserve"> Нови економист– часопис за економску теорију и праксу, Vol 12(2), број 24, Факултет пословне економије Бјељина, str. 45-62, </w:t>
            </w:r>
            <w:hyperlink r:id="rId7" w:history="1">
              <w:r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</w:rPr>
                <w:t>http://www.noviekonomist.info/ojs/article/view/55.html</w:t>
              </w:r>
            </w:hyperlink>
          </w:p>
          <w:p w14:paraId="3712FC76" w14:textId="77777777" w:rsidR="00C44589" w:rsidRDefault="00DB1163" w:rsidP="00DB1163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left" w:pos="420"/>
              </w:tabs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The  determinants  of  tax  evasion: empirical evidence from Serbia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Đurović Todorović, J., Đorđević, M., Ristić Cakić, M.,  (2021), Economics. Information technologies, 48(3), http://econom-inform-journal.ru/index.php/journal/issue/view/7/9 ,  p. 514–527.</w:t>
            </w:r>
          </w:p>
          <w:p w14:paraId="1178D3E7" w14:textId="77777777" w:rsidR="00C44589" w:rsidRDefault="00DB1163" w:rsidP="00DB1163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left" w:pos="420"/>
              </w:tabs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Regionalna državna pomoć u funkciji podsticanja zaposlenosti u Republici Srbiji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Đurović Todorović, J., Đorđević, M., Ristić Cakić, M., </w:t>
            </w:r>
            <w:r>
              <w:rPr>
                <w:rFonts w:ascii="Times New Roman" w:hAnsi="Times New Roman"/>
                <w:sz w:val="20"/>
                <w:szCs w:val="20"/>
              </w:rPr>
              <w:t>(2021),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Zbornik radova XXVI Međunarodne naučne konferencije: „Regionalni razvoj i demografski tokovi zemalja Jugoistočne Evrope, Niš, Ekonomski fakultet Univerziteta u Nišu,  str.165-173</w:t>
            </w:r>
          </w:p>
        </w:tc>
      </w:tr>
      <w:tr w:rsidR="00C44589" w14:paraId="1CC0222B" w14:textId="77777777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C57577F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DC460E0" w14:textId="5036D5B9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 w:rsidR="00992EE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51C564FD" w14:textId="5FEC4208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="00992EE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C44589" w14:paraId="372F4F40" w14:textId="77777777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11EB8073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12AB716E" w14:textId="77777777" w:rsidR="00C44589" w:rsidRDefault="00DB11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562B3E89" w14:textId="77777777" w:rsidR="00C44589" w:rsidRDefault="00DB1163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540AE2BD" w14:textId="77777777" w:rsidR="00C44589" w:rsidRDefault="00DB116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(М3) Метода демонстрације - предавања уз коришћење презентација;</w:t>
            </w:r>
          </w:p>
          <w:p w14:paraId="40A945C0" w14:textId="77777777" w:rsidR="00C44589" w:rsidRDefault="00DB1163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38E5AF77" w14:textId="77777777" w:rsidR="00C44589" w:rsidRDefault="00DB116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 Метода решавања проблема - решавање задатака;</w:t>
            </w:r>
          </w:p>
          <w:p w14:paraId="5E894477" w14:textId="77777777" w:rsidR="00C44589" w:rsidRDefault="00DB1163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Студија случаја 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 савремених држава;</w:t>
            </w:r>
          </w:p>
          <w:p w14:paraId="53147A12" w14:textId="77777777" w:rsidR="00C44589" w:rsidRDefault="00DB11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 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14D48B79" w14:textId="77777777" w:rsidR="00C44589" w:rsidRDefault="00DB1163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(М8) Статистичке методе</w:t>
            </w:r>
          </w:p>
          <w:p w14:paraId="539BF382" w14:textId="77777777" w:rsidR="00C44589" w:rsidRDefault="00DB116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C44589" w14:paraId="7ADB20F1" w14:textId="77777777">
              <w:tc>
                <w:tcPr>
                  <w:tcW w:w="1271" w:type="dxa"/>
                </w:tcPr>
                <w:p w14:paraId="20D99C71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57536933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35F7B4AD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C44589" w14:paraId="6BC19A6A" w14:textId="77777777">
              <w:tc>
                <w:tcPr>
                  <w:tcW w:w="1271" w:type="dxa"/>
                </w:tcPr>
                <w:p w14:paraId="438BC46C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63FB3B46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381DD6AE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</w:t>
                  </w:r>
                </w:p>
              </w:tc>
            </w:tr>
            <w:tr w:rsidR="00C44589" w14:paraId="65EB4B43" w14:textId="77777777">
              <w:tc>
                <w:tcPr>
                  <w:tcW w:w="1271" w:type="dxa"/>
                </w:tcPr>
                <w:p w14:paraId="7D4DC01A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2ACF9F5B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М5, М7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7A212DE9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</w:t>
                  </w:r>
                </w:p>
              </w:tc>
            </w:tr>
            <w:tr w:rsidR="00C44589" w14:paraId="541EEBCB" w14:textId="77777777">
              <w:tc>
                <w:tcPr>
                  <w:tcW w:w="1271" w:type="dxa"/>
                </w:tcPr>
                <w:p w14:paraId="0EB340DB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0DCBBA2C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5BB1EEB1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ктивности на часу, семинар-и</w:t>
                  </w:r>
                </w:p>
              </w:tc>
            </w:tr>
            <w:tr w:rsidR="00C44589" w14:paraId="67BCBFBA" w14:textId="77777777">
              <w:tc>
                <w:tcPr>
                  <w:tcW w:w="1271" w:type="dxa"/>
                </w:tcPr>
                <w:p w14:paraId="4148AF60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1C7CCD8B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4, М6, М7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7AE614E6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C44589" w14:paraId="29813CA4" w14:textId="77777777">
              <w:tc>
                <w:tcPr>
                  <w:tcW w:w="1271" w:type="dxa"/>
                </w:tcPr>
                <w:p w14:paraId="4F142C4B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53F41E66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3, М6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573F1122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C44589" w14:paraId="39D61CB8" w14:textId="77777777">
              <w:tc>
                <w:tcPr>
                  <w:tcW w:w="1271" w:type="dxa"/>
                </w:tcPr>
                <w:p w14:paraId="5E0019A5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44E4C661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 М6, М7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179B3F3F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C44589" w14:paraId="283680CA" w14:textId="77777777">
              <w:tc>
                <w:tcPr>
                  <w:tcW w:w="1271" w:type="dxa"/>
                </w:tcPr>
                <w:p w14:paraId="66188799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5616E0BB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 М6, М7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46B85234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C44589" w14:paraId="559CB24B" w14:textId="77777777">
              <w:tc>
                <w:tcPr>
                  <w:tcW w:w="1271" w:type="dxa"/>
                </w:tcPr>
                <w:p w14:paraId="4DF78E70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2D203C59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 М6, М7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48B7FE1E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C44589" w14:paraId="3931450C" w14:textId="77777777">
              <w:tc>
                <w:tcPr>
                  <w:tcW w:w="1271" w:type="dxa"/>
                </w:tcPr>
                <w:p w14:paraId="7770C893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3CCBADBB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 М6, М7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6CD4C25C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C44589" w14:paraId="6C4A80BD" w14:textId="77777777">
              <w:tc>
                <w:tcPr>
                  <w:tcW w:w="1271" w:type="dxa"/>
                </w:tcPr>
                <w:p w14:paraId="3232C07E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600F6129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5, М6, М7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490F555C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C44589" w14:paraId="35B34B36" w14:textId="77777777">
              <w:tc>
                <w:tcPr>
                  <w:tcW w:w="1271" w:type="dxa"/>
                </w:tcPr>
                <w:p w14:paraId="20DB75BA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И11</w:t>
                  </w:r>
                </w:p>
              </w:tc>
              <w:tc>
                <w:tcPr>
                  <w:tcW w:w="3119" w:type="dxa"/>
                </w:tcPr>
                <w:p w14:paraId="6CE63233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М6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 М7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 M8</w:t>
                  </w:r>
                </w:p>
              </w:tc>
              <w:tc>
                <w:tcPr>
                  <w:tcW w:w="6095" w:type="dxa"/>
                </w:tcPr>
                <w:p w14:paraId="74F90D10" w14:textId="77777777" w:rsidR="00C44589" w:rsidRDefault="00DB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часу, семинар-и</w:t>
                  </w:r>
                </w:p>
              </w:tc>
            </w:tr>
          </w:tbl>
          <w:p w14:paraId="63D8BBDF" w14:textId="77777777" w:rsidR="00C44589" w:rsidRDefault="00C4458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44589" w14:paraId="7A42DED1" w14:textId="77777777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D002973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C44589" w14:paraId="382DC515" w14:textId="77777777">
        <w:trPr>
          <w:trHeight w:val="227"/>
          <w:jc w:val="center"/>
        </w:trPr>
        <w:tc>
          <w:tcPr>
            <w:tcW w:w="1643" w:type="pct"/>
            <w:vAlign w:val="center"/>
          </w:tcPr>
          <w:p w14:paraId="726AE10C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09488392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3DEC3568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29C9A78E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C44589" w14:paraId="69D2A515" w14:textId="77777777">
        <w:trPr>
          <w:trHeight w:val="227"/>
          <w:jc w:val="center"/>
        </w:trPr>
        <w:tc>
          <w:tcPr>
            <w:tcW w:w="1643" w:type="pct"/>
            <w:vAlign w:val="center"/>
          </w:tcPr>
          <w:p w14:paraId="4EEE8FF1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2188" w:type="dxa"/>
            <w:vAlign w:val="center"/>
          </w:tcPr>
          <w:p w14:paraId="3114FE2C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683" w:type="pct"/>
            <w:gridSpan w:val="2"/>
            <w:vAlign w:val="center"/>
          </w:tcPr>
          <w:p w14:paraId="0D67ADDD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D859C86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/</w:t>
            </w:r>
          </w:p>
        </w:tc>
      </w:tr>
      <w:tr w:rsidR="00C44589" w14:paraId="2A8787F1" w14:textId="77777777">
        <w:trPr>
          <w:trHeight w:val="227"/>
          <w:jc w:val="center"/>
        </w:trPr>
        <w:tc>
          <w:tcPr>
            <w:tcW w:w="1643" w:type="pct"/>
            <w:vAlign w:val="center"/>
          </w:tcPr>
          <w:p w14:paraId="5113FFC1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2188" w:type="dxa"/>
            <w:vAlign w:val="center"/>
          </w:tcPr>
          <w:p w14:paraId="074762E3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58A954C9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7326974E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C44589" w14:paraId="1C94A77F" w14:textId="77777777">
        <w:trPr>
          <w:trHeight w:val="70"/>
          <w:jc w:val="center"/>
        </w:trPr>
        <w:tc>
          <w:tcPr>
            <w:tcW w:w="1643" w:type="pct"/>
            <w:vAlign w:val="center"/>
          </w:tcPr>
          <w:p w14:paraId="2C770517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2188" w:type="dxa"/>
            <w:vAlign w:val="center"/>
          </w:tcPr>
          <w:p w14:paraId="6D0B0358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5A8C2574" w14:textId="77777777" w:rsidR="00C44589" w:rsidRDefault="00C4458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4D85AEED" w14:textId="77777777" w:rsidR="00C44589" w:rsidRDefault="00C4458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C44589" w14:paraId="3CF240A5" w14:textId="77777777">
        <w:trPr>
          <w:trHeight w:val="227"/>
          <w:jc w:val="center"/>
        </w:trPr>
        <w:tc>
          <w:tcPr>
            <w:tcW w:w="1643" w:type="pct"/>
            <w:vAlign w:val="center"/>
          </w:tcPr>
          <w:p w14:paraId="0DEA6E1C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2188" w:type="dxa"/>
            <w:vAlign w:val="center"/>
          </w:tcPr>
          <w:p w14:paraId="758ED9C5" w14:textId="77777777" w:rsidR="00C44589" w:rsidRDefault="00DB116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4456437" w14:textId="77777777" w:rsidR="00C44589" w:rsidRDefault="00C4458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75223904" w14:textId="77777777" w:rsidR="00C44589" w:rsidRDefault="00C4458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34A6CCE3" w14:textId="77777777" w:rsidR="00C44589" w:rsidRDefault="00C44589">
      <w:pPr>
        <w:jc w:val="center"/>
        <w:rPr>
          <w:rFonts w:ascii="Times New Roman" w:hAnsi="Times New Roman"/>
          <w:bCs/>
          <w:lang w:val="sr-Cyrl-CS"/>
        </w:rPr>
      </w:pPr>
    </w:p>
    <w:p w14:paraId="7E0EFD39" w14:textId="77777777" w:rsidR="00C44589" w:rsidRDefault="00C44589"/>
    <w:sectPr w:rsidR="00C44589">
      <w:pgSz w:w="11907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4DD72B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D1CC2FA5"/>
    <w:multiLevelType w:val="singleLevel"/>
    <w:tmpl w:val="D1CC2FA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6EC3D87"/>
    <w:multiLevelType w:val="multilevel"/>
    <w:tmpl w:val="06EC3D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E1D17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3A51723F"/>
    <w:multiLevelType w:val="multilevel"/>
    <w:tmpl w:val="3A51723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20852"/>
    <w:multiLevelType w:val="multilevel"/>
    <w:tmpl w:val="6EA20852"/>
    <w:lvl w:ilvl="0">
      <w:start w:val="1"/>
      <w:numFmt w:val="decimal"/>
      <w:lvlText w:val="%1."/>
      <w:lvlJc w:val="left"/>
      <w:pPr>
        <w:tabs>
          <w:tab w:val="left" w:pos="720"/>
        </w:tabs>
        <w:ind w:left="80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7636F"/>
    <w:rsid w:val="00385903"/>
    <w:rsid w:val="003D76F0"/>
    <w:rsid w:val="00451008"/>
    <w:rsid w:val="0046505B"/>
    <w:rsid w:val="004B1DDB"/>
    <w:rsid w:val="0052130F"/>
    <w:rsid w:val="005B012E"/>
    <w:rsid w:val="005B1103"/>
    <w:rsid w:val="005B4714"/>
    <w:rsid w:val="00606ADD"/>
    <w:rsid w:val="00684003"/>
    <w:rsid w:val="006D43F1"/>
    <w:rsid w:val="006D4FDE"/>
    <w:rsid w:val="00782A2E"/>
    <w:rsid w:val="00794808"/>
    <w:rsid w:val="007960B3"/>
    <w:rsid w:val="007A4520"/>
    <w:rsid w:val="007C6F8F"/>
    <w:rsid w:val="008E2714"/>
    <w:rsid w:val="00941275"/>
    <w:rsid w:val="009906D5"/>
    <w:rsid w:val="00992EE1"/>
    <w:rsid w:val="009D790D"/>
    <w:rsid w:val="009E0F96"/>
    <w:rsid w:val="00A02E88"/>
    <w:rsid w:val="00A076A7"/>
    <w:rsid w:val="00A17238"/>
    <w:rsid w:val="00A2164E"/>
    <w:rsid w:val="00B42188"/>
    <w:rsid w:val="00B54F31"/>
    <w:rsid w:val="00B65F83"/>
    <w:rsid w:val="00C44589"/>
    <w:rsid w:val="00C47D25"/>
    <w:rsid w:val="00C67922"/>
    <w:rsid w:val="00CB7005"/>
    <w:rsid w:val="00D44A65"/>
    <w:rsid w:val="00D71D73"/>
    <w:rsid w:val="00D8586A"/>
    <w:rsid w:val="00DA3210"/>
    <w:rsid w:val="00DB1163"/>
    <w:rsid w:val="00DD7892"/>
    <w:rsid w:val="00E9282C"/>
    <w:rsid w:val="00EA3834"/>
    <w:rsid w:val="00EB7F54"/>
    <w:rsid w:val="00ED4E06"/>
    <w:rsid w:val="00F107C0"/>
    <w:rsid w:val="00F226FC"/>
    <w:rsid w:val="00F368E2"/>
    <w:rsid w:val="00F5756D"/>
    <w:rsid w:val="00F833B8"/>
    <w:rsid w:val="00FD5EAA"/>
    <w:rsid w:val="06EC36C5"/>
    <w:rsid w:val="1B6A0604"/>
    <w:rsid w:val="22071A56"/>
    <w:rsid w:val="735C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88D57"/>
  <w15:docId w15:val="{9A2CBAAA-3DA4-49C7-BB82-55EF56ED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basedOn w:val="DefaultParagraphFont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rynqvb">
    <w:name w:val="rynqvb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viekonomist.info/ojs/article/view/5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rary.ien.bg.ac.rs/index.php/ea/issue/view/236," TargetMode="External"/><Relationship Id="rId5" Type="http://schemas.openxmlformats.org/officeDocument/2006/relationships/hyperlink" Target="https://www.ekonomika.org.rs/sr/PDF/ekonomika/2024/clanci24-2/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4</cp:revision>
  <dcterms:created xsi:type="dcterms:W3CDTF">2026-05-07T10:27:00Z</dcterms:created>
  <dcterms:modified xsi:type="dcterms:W3CDTF">2026-06-05T13:14:00Z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8C7E45C322FC40DCBA73BC405E9721DB_13</vt:lpwstr>
  </property>
</Properties>
</file>